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附件1：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海外知识产权纠纷应对指导</w:t>
      </w: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申请书</w:t>
      </w:r>
    </w:p>
    <w:p>
      <w:pPr>
        <w:tabs>
          <w:tab w:val="left" w:pos="5614"/>
        </w:tabs>
        <w:ind w:right="782" w:firstLine="480"/>
        <w:rPr>
          <w:rFonts w:ascii="仿宋" w:hAnsi="仿宋" w:eastAsia="仿宋"/>
          <w:kern w:val="0"/>
          <w:sz w:val="24"/>
          <w:szCs w:val="28"/>
        </w:rPr>
      </w:pPr>
    </w:p>
    <w:tbl>
      <w:tblPr>
        <w:tblStyle w:val="4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2735"/>
        <w:gridCol w:w="1485"/>
        <w:gridCol w:w="2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申请时间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纠纷应对指导申请人类别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企业  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社会团体  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科研院所  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申请人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（统一社会信用代码）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申请人规模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100人以下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101-500人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 xml:space="preserve">501-1000人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1000人以上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35" w:type="dxa"/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745" w:type="dxa"/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48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详细联系地址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涉及纠纷类型</w:t>
            </w:r>
          </w:p>
          <w:p>
            <w:pPr>
              <w:spacing w:line="400" w:lineRule="exact"/>
              <w:ind w:firstLine="560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多选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firstLine="560"/>
              <w:rPr>
                <w:rFonts w:hint="default" w:ascii="Times New Roman" w:hAnsi="Times New Roman" w:cs="Times New Roman"/>
                <w:bCs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知识产权权利有效性或权属纠纷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知识产权侵权纠纷  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知识产权相关贸易调查         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展会知识产权纠纷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海关知识产权纠纷   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商业秘密纠纷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 xml:space="preserve">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 xml:space="preserve">□知识产权许可相关纠纷 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☑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u w:val="single"/>
                <w:lang w:eastAsia="zh-CN"/>
              </w:rPr>
              <w:t>海外商标风险预警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涉及权利类别</w:t>
            </w:r>
          </w:p>
          <w:p>
            <w:pPr>
              <w:spacing w:line="400" w:lineRule="exact"/>
              <w:ind w:firstLine="56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多选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发明专利 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实用新型专利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工业品外观设计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☑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商标     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□商业秘密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地理标志     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集成电路布图设计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纠纷国家/地区</w:t>
            </w:r>
          </w:p>
          <w:p>
            <w:pPr>
              <w:spacing w:line="400" w:lineRule="exact"/>
              <w:ind w:firstLine="560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多选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left="1428" w:leftChars="174" w:hanging="871" w:hangingChars="325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美国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德国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法国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英国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日本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韩国</w:t>
            </w:r>
          </w:p>
          <w:p>
            <w:pPr>
              <w:spacing w:line="360" w:lineRule="exact"/>
              <w:ind w:left="1428" w:leftChars="174" w:hanging="871" w:hangingChars="325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印度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巴西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俄罗斯  □土耳其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澳大利亚</w:t>
            </w:r>
          </w:p>
          <w:p>
            <w:pPr>
              <w:spacing w:line="360" w:lineRule="exact"/>
              <w:ind w:left="1428" w:leftChars="174" w:hanging="871" w:hangingChars="325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☑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u w:val="single"/>
                <w:lang w:eastAsia="zh-CN"/>
              </w:rPr>
              <w:t>全球预警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纠纷对象类型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单选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竞争对手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非专利实施实体（NPE）  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高校或研究机构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个人  </w:t>
            </w: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☑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u w:val="single"/>
                <w:lang w:eastAsia="zh-CN"/>
              </w:rPr>
              <w:t>商标抢注人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纠纷领域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单选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机械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电学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通信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 xml:space="preserve">化学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光电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医药生物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其他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 w:color="000000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 w:color="000000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1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纠纷应对指导申请事项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1000字以内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本单位正在开展海外业务，但近期发现海外商标抢注、侵权情况日益严重，故请求浙江中心帮助进行海外商标监测预警，特此申请。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4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纠纷影响预估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1000字以内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一旦本单位的品牌在海外地区被成功抢注，不仅会阻碍本单位相应产品在该地区的市场准入，还将损害本单位的商誉和市场竞争力，进而侵害本单位的品牌权益。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涉案金额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1"/>
                <w:szCs w:val="21"/>
                <w:lang w:val="en-US" w:eastAsia="zh-CN"/>
              </w:rPr>
              <w:t>涉案产品市场情况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1"/>
                <w:szCs w:val="21"/>
                <w:lang w:val="en-US" w:eastAsia="zh-CN"/>
              </w:rPr>
              <w:t>将面临的损失情况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96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纠纷级别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FF0000"/>
                <w:kern w:val="0"/>
                <w:sz w:val="28"/>
                <w:szCs w:val="28"/>
              </w:rPr>
              <w:t>单选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spacing w:val="-6"/>
                <w:sz w:val="28"/>
                <w:szCs w:val="28"/>
                <w:lang w:eastAsia="zh-CN"/>
              </w:rPr>
              <w:t>☑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普通纠纷</w:t>
            </w:r>
          </w:p>
          <w:p>
            <w:pPr>
              <w:spacing w:line="360" w:lineRule="exact"/>
              <w:ind w:firstLine="560"/>
              <w:rPr>
                <w:rFonts w:hint="default" w:ascii="Times New Roman" w:hAnsi="Times New Roman" w:eastAsia="仿宋" w:cs="Times New Roman"/>
                <w:spacing w:val="-6"/>
                <w:sz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</w:rPr>
              <w:t>重大/疑难纠纷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3F17"/>
    <w:rsid w:val="00005C45"/>
    <w:rsid w:val="0011158E"/>
    <w:rsid w:val="00357B71"/>
    <w:rsid w:val="00427F52"/>
    <w:rsid w:val="004A65AC"/>
    <w:rsid w:val="007E1220"/>
    <w:rsid w:val="009B7BF1"/>
    <w:rsid w:val="00B75F4C"/>
    <w:rsid w:val="020B3A5C"/>
    <w:rsid w:val="02833A3E"/>
    <w:rsid w:val="029C3D75"/>
    <w:rsid w:val="051B3073"/>
    <w:rsid w:val="12F42C4D"/>
    <w:rsid w:val="134F5633"/>
    <w:rsid w:val="17881E16"/>
    <w:rsid w:val="181A5911"/>
    <w:rsid w:val="1DF20F90"/>
    <w:rsid w:val="1DF464D4"/>
    <w:rsid w:val="1FFB76D1"/>
    <w:rsid w:val="209D20AA"/>
    <w:rsid w:val="211725E8"/>
    <w:rsid w:val="22306229"/>
    <w:rsid w:val="247B5A34"/>
    <w:rsid w:val="2C6A1E4D"/>
    <w:rsid w:val="2D4E3F17"/>
    <w:rsid w:val="2E033DC9"/>
    <w:rsid w:val="33FE4D52"/>
    <w:rsid w:val="34A301FA"/>
    <w:rsid w:val="38945FC8"/>
    <w:rsid w:val="3CE8366E"/>
    <w:rsid w:val="3FC366A2"/>
    <w:rsid w:val="3FFD9407"/>
    <w:rsid w:val="3FFF418C"/>
    <w:rsid w:val="41034C8C"/>
    <w:rsid w:val="44E456EE"/>
    <w:rsid w:val="47C043BC"/>
    <w:rsid w:val="493F7E6D"/>
    <w:rsid w:val="4B571D91"/>
    <w:rsid w:val="4BEFD699"/>
    <w:rsid w:val="4C6B134E"/>
    <w:rsid w:val="4FDC1030"/>
    <w:rsid w:val="53E31E4D"/>
    <w:rsid w:val="553B7EB0"/>
    <w:rsid w:val="5A8951A0"/>
    <w:rsid w:val="5BB9CCF6"/>
    <w:rsid w:val="5BF5EE4F"/>
    <w:rsid w:val="5E3825B2"/>
    <w:rsid w:val="5ECD1A81"/>
    <w:rsid w:val="62B92A43"/>
    <w:rsid w:val="63437BCB"/>
    <w:rsid w:val="69AE87CE"/>
    <w:rsid w:val="6DC009C7"/>
    <w:rsid w:val="6F19D679"/>
    <w:rsid w:val="6FC1484A"/>
    <w:rsid w:val="6FF4B455"/>
    <w:rsid w:val="713F3528"/>
    <w:rsid w:val="738B53B3"/>
    <w:rsid w:val="7397A39E"/>
    <w:rsid w:val="769FFBC5"/>
    <w:rsid w:val="76F908CD"/>
    <w:rsid w:val="7BA94A08"/>
    <w:rsid w:val="7BEB7919"/>
    <w:rsid w:val="7BFFA915"/>
    <w:rsid w:val="7EFC53CD"/>
    <w:rsid w:val="7EFF44F5"/>
    <w:rsid w:val="7F5FB61F"/>
    <w:rsid w:val="7F975DC3"/>
    <w:rsid w:val="7FD42D39"/>
    <w:rsid w:val="7FF38C87"/>
    <w:rsid w:val="7FFF98AB"/>
    <w:rsid w:val="8EFD2CF4"/>
    <w:rsid w:val="AFBFC42A"/>
    <w:rsid w:val="B2EEA478"/>
    <w:rsid w:val="B42F8865"/>
    <w:rsid w:val="B8F5806E"/>
    <w:rsid w:val="BFEB9FAA"/>
    <w:rsid w:val="BFFB421C"/>
    <w:rsid w:val="C6F63127"/>
    <w:rsid w:val="CAFF8003"/>
    <w:rsid w:val="CD5F0BF5"/>
    <w:rsid w:val="CFB60FA6"/>
    <w:rsid w:val="CFEA0033"/>
    <w:rsid w:val="D3FB1A78"/>
    <w:rsid w:val="DB6F902F"/>
    <w:rsid w:val="DDAF5E42"/>
    <w:rsid w:val="DF7D6275"/>
    <w:rsid w:val="DFC3CD49"/>
    <w:rsid w:val="E7FC72F0"/>
    <w:rsid w:val="EBEB23EC"/>
    <w:rsid w:val="F36D8A3F"/>
    <w:rsid w:val="F5FF0068"/>
    <w:rsid w:val="F65AD9FA"/>
    <w:rsid w:val="F6DEED80"/>
    <w:rsid w:val="F7CB6E00"/>
    <w:rsid w:val="F7FFD87F"/>
    <w:rsid w:val="F9C76849"/>
    <w:rsid w:val="F9D8B554"/>
    <w:rsid w:val="FA5FDD70"/>
    <w:rsid w:val="FC6671BC"/>
    <w:rsid w:val="FD750FB7"/>
    <w:rsid w:val="FDFF1C74"/>
    <w:rsid w:val="FE5F3D2E"/>
    <w:rsid w:val="FF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536</Characters>
  <Lines>1</Lines>
  <Paragraphs>1</Paragraphs>
  <TotalTime>15</TotalTime>
  <ScaleCrop>false</ScaleCrop>
  <LinksUpToDate>false</LinksUpToDate>
  <CharactersWithSpaces>628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2020-05-19T09:15:00Z</dcterms:created>
  <dc:creator>农民进城</dc:creator>
  <cp:lastModifiedBy>zjippcgyc</cp:lastModifiedBy>
  <cp:lastPrinted>2020-12-13T16:52:00Z</cp:lastPrinted>
  <dcterms:modified xsi:type="dcterms:W3CDTF">2024-03-27T08:28:08Z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A9DC75B280D44D51F2A4B065F777A8D0</vt:lpwstr>
  </property>
</Properties>
</file>